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69" w:rsidRPr="00930B69" w:rsidRDefault="008D4FE3" w:rsidP="00C7232F">
      <w:pPr>
        <w:jc w:val="both"/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Praha</w:t>
      </w:r>
      <w:r w:rsidR="009207F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,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</w:t>
      </w:r>
      <w:r w:rsidR="00C7232F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26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. </w:t>
      </w:r>
      <w:r w:rsidR="00C7232F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června</w:t>
      </w:r>
      <w:r w:rsidR="00930B69" w:rsidRPr="00930B69"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 xml:space="preserve"> 201</w:t>
      </w:r>
      <w:r>
        <w:rPr>
          <w:rFonts w:ascii="Arial" w:hAnsi="Arial" w:cs="Arial"/>
          <w:bCs/>
          <w:color w:val="0A4076"/>
          <w:sz w:val="20"/>
          <w:szCs w:val="20"/>
          <w:shd w:val="clear" w:color="auto" w:fill="FFFFFF"/>
        </w:rPr>
        <w:t>5</w:t>
      </w:r>
    </w:p>
    <w:p w:rsidR="008D7273" w:rsidRDefault="008D7273" w:rsidP="00C7232F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</w:p>
    <w:p w:rsidR="003C0E06" w:rsidRPr="003C0E06" w:rsidRDefault="003C0E06" w:rsidP="003C0E06">
      <w:pPr>
        <w:jc w:val="both"/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</w:pPr>
      <w:r w:rsidRPr="003C0E06">
        <w:rPr>
          <w:rFonts w:ascii="Segoe UI" w:hAnsi="Segoe UI" w:cs="Segoe UI"/>
          <w:b/>
          <w:bCs/>
          <w:color w:val="0A4076"/>
          <w:u w:val="single"/>
          <w:shd w:val="clear" w:color="auto" w:fill="FFFFFF"/>
        </w:rPr>
        <w:t>V boji s poruchami příjmu potravy se musíme více zaměřit na blízké</w:t>
      </w:r>
    </w:p>
    <w:p w:rsidR="00C7232F" w:rsidRDefault="00C7232F" w:rsidP="003C0E06">
      <w:pPr>
        <w:rPr>
          <w:shd w:val="clear" w:color="auto" w:fill="FFFFFF"/>
        </w:rPr>
      </w:pPr>
    </w:p>
    <w:p w:rsidR="003C0E06" w:rsidRPr="003C0E06" w:rsidRDefault="003C0E06" w:rsidP="003C0E06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Vysledovat trend či vývoj v oblasti poruch příjmu potravy je už po léta sisyfovský úkol. Na výkazu Ústavu zdravotnických informací a statistiky ČR (</w:t>
      </w:r>
      <w:hyperlink r:id="rId8" w:history="1">
        <w:r w:rsidRPr="003C0E06">
          <w:rPr>
            <w:rFonts w:ascii="Arial" w:hAnsi="Arial"/>
            <w:b/>
            <w:color w:val="0A4076"/>
            <w:position w:val="14"/>
            <w:sz w:val="20"/>
            <w:szCs w:val="20"/>
            <w:shd w:val="clear" w:color="auto" w:fill="FFFFFF"/>
          </w:rPr>
          <w:t>www.uzis.cz</w:t>
        </w:r>
      </w:hyperlink>
      <w:r w:rsidRPr="003C0E06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) o činnosti psychiatrických oddělení/pracovišť se počet pacientů s poruchami příjmu potravy sleduje teprve od roku 2011, navíc čísla jsou velmi zkreslená, protože množství nemocných často pomoc vůbec nevyhledá a nejsou tedy nijak </w:t>
      </w:r>
      <w:proofErr w:type="spellStart"/>
      <w:r w:rsidRPr="003C0E06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podchytitelní</w:t>
      </w:r>
      <w:proofErr w:type="spellEnd"/>
      <w:r w:rsidRPr="003C0E06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.</w:t>
      </w:r>
    </w:p>
    <w:p w:rsidR="003C0E06" w:rsidRDefault="003C0E06" w:rsidP="003C0E06">
      <w:pPr>
        <w:jc w:val="both"/>
      </w:pPr>
    </w:p>
    <w:p w:rsidR="003C0E06" w:rsidRPr="003C0E06" w:rsidRDefault="003C0E06" w:rsidP="003C0E06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„Většina klientů s poruchou příjmu potravy s aktivní léčbou otálí – v dlouhodobých průzkumech se ukazuje, že léčbu klienti vyhledávají až po 3 až 5 letech od prvních příznaků nemoci. Porucha příjmu potravy tak často zůstává přehlížena, a to jak samotným nemocným, tak jeho blízkým okolím. Nevhodné (a nemocné) stravování zůstává skryto za módními stravovacími trendy nebo snahou o zdravý životní styl,“</w:t>
      </w: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podotýká </w:t>
      </w:r>
      <w:r w:rsidRPr="003C0E06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PhDr. Ing. Jana Sladká, zakladatelka a ředitelka Centra Anabell</w:t>
      </w:r>
      <w:r w:rsidRPr="003C0E06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.</w:t>
      </w: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Druhá věc je, že nemocní se často bojí zavítat do psychiatrické ordinace. Svůj problém buď zcela skrývají, řeší jej pouze s kamarádkou, v Centru Anabell nebo s psychoterapeutem. I tato množina ve zdravotnických statistikách chybí.</w:t>
      </w: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A nakonec v České republice je málo možností pro léčbu poruch příjmu potravy v nemocnicích. „Například v Brně, na oddělení pro dospělé pacienty, je kapacita šest lůžek pro tříměsíční léčbu a čekací doba je půl roku. To znamená, že se pomoc dostane k pouhým čtyřiadvaceti potřebným ročně,“</w:t>
      </w: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vysvětluje PhDr. Ing. Jana Sladká.</w:t>
      </w:r>
    </w:p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Proto se chce Centrum Anabell, které v České republice funguje už třináctým rokem, nyní více zaměřit na blízké a okolí nemocného. Podle Jany Sladké je nezbytné, aby se společnost, která nemocného obklopuje, stala určitou informační, ale i motivační a podpůrnou sítí. Na druhou stranu je třeba v pomoci bližnímu s poruchou příjmu potravy bedlivě volit slova.</w:t>
      </w:r>
    </w:p>
    <w:p w:rsidR="003C0E06" w:rsidRPr="003C0E06" w:rsidRDefault="003C0E06" w:rsidP="003C0E06">
      <w:pPr>
        <w:jc w:val="center"/>
        <w:rPr>
          <w:rFonts w:ascii="Arial" w:hAnsi="Arial"/>
          <w:b/>
          <w:color w:val="0A4076"/>
          <w:position w:val="14"/>
          <w:sz w:val="30"/>
          <w:szCs w:val="30"/>
          <w:shd w:val="clear" w:color="auto" w:fill="FFFFFF"/>
        </w:rPr>
      </w:pPr>
      <w:r w:rsidRPr="003C0E06">
        <w:rPr>
          <w:rFonts w:ascii="Arial" w:hAnsi="Arial"/>
          <w:b/>
          <w:color w:val="0A4076"/>
          <w:position w:val="14"/>
          <w:sz w:val="30"/>
          <w:szCs w:val="30"/>
          <w:shd w:val="clear" w:color="auto" w:fill="FFFFFF"/>
        </w:rPr>
        <w:t>Ona to nepozná, vy ano!</w:t>
      </w:r>
    </w:p>
    <w:p w:rsidR="003C0E06" w:rsidRDefault="003C0E06" w:rsidP="003C0E06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„Znamená to nabídnout pomoc, projevit zájem, neodsuzovat a nevysmívat se. Také musíme počítat s tím, že se člověk bude bránit, tvrdit, že je vše v pořádku, že se nic neděje. Klidně vyjádřete své pocity, svůj strach o něj, mluvte za sebe: „Všimla jsem si, že… a mám o tebe strach. Kdybych ti mohla nějak pomoci, můžeš se na mě obrátit“ nebo „Ráda bych ti pomohla, ale nevím jak, co bys potřeboval?“ Vyhněte se sdělování formou: „Ty jsi zhubl, ty nejíš, ty nejsi v pořádku…“. Podporujte ve vyhledání odborné pomoci a pak oceňte i sebemenší snahu či úspěch. V každém případě se ozbrojte trpělivostí a nezapomínejte na svůj vlastní život,“</w:t>
      </w: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radí </w:t>
      </w:r>
      <w:r w:rsidRPr="003C0E06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>Mgr. Dana Starostková, vedoucí poboček Centra Anabell v Praze a v Ostravě.</w:t>
      </w:r>
    </w:p>
    <w:p w:rsidR="003C0E06" w:rsidRPr="003C0E06" w:rsidRDefault="003C0E06" w:rsidP="003C0E06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</w:p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lastRenderedPageBreak/>
        <w:t>Ředitelka Centra Anabell PhDr. Ing. Jana Sladká doufá, že také díky spolupráci s mediálně známou Eliškou Bučkovou, jíž sleduje spousta dívek a žen, se podaří informovanost o poruchách příjmu potravy úspěšně zvyšovat.</w:t>
      </w: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Pomoci v tom mají také další aktivity Centra Anabell, jako je propojení se sportem – zejména plážovým volejbalem – pod krédem Jíme proto, abychom mohli sportovat, v květnu Centrum Anabell uspořádalo pilotní ročník Týdne bez diet s Anabell a chystá projekt designových </w:t>
      </w:r>
      <w:proofErr w:type="spellStart"/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čokoládek</w:t>
      </w:r>
      <w:proofErr w:type="spellEnd"/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do kaváren.</w:t>
      </w:r>
    </w:p>
    <w:p w:rsidR="004A5A95" w:rsidRPr="003C0E06" w:rsidRDefault="004A5A95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Pr="004A5A95" w:rsidRDefault="003C0E06" w:rsidP="003C0E06">
      <w:pPr>
        <w:jc w:val="both"/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</w:pPr>
      <w:bookmarkStart w:id="0" w:name="_GoBack"/>
      <w:r w:rsidRPr="004A5A95">
        <w:rPr>
          <w:rFonts w:ascii="Arial" w:hAnsi="Arial"/>
          <w:b/>
          <w:color w:val="0A4076"/>
          <w:position w:val="14"/>
          <w:sz w:val="20"/>
          <w:szCs w:val="20"/>
          <w:shd w:val="clear" w:color="auto" w:fill="FFFFFF"/>
        </w:rPr>
        <w:t xml:space="preserve">Nemocné mládnou i stárnou </w:t>
      </w:r>
    </w:p>
    <w:bookmarkEnd w:id="0"/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V roce 2013 bylo v psychiatrických ambulancích podle ÚZIS léčeno s diagnózou porucha příjmu potravy celkem 3 824 pacientů, z toho bylo 91 % žen. Podle Jany Sladké se toto číslo už dlouhá léta nijak nemění, ale ani ho nelze brát za bernou minci.</w:t>
      </w:r>
    </w:p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i/>
          <w:color w:val="0A4076"/>
          <w:position w:val="14"/>
          <w:sz w:val="20"/>
          <w:szCs w:val="20"/>
          <w:shd w:val="clear" w:color="auto" w:fill="FFFFFF"/>
        </w:rPr>
        <w:t>„Co ovšem můžeme sledovat, je trend rozevírajících se nůžek věkových kategorií. Věk ohrožených touto nemocí se stále snižuje, v praxi je možné se setkat s osmiletým dítětem s některou z poruch příjmu potravy, zároveň se s poruchami příjmu potravy potýkají dospělé, a čím dál starší ženy,“</w:t>
      </w: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 říká PhDr. Ing. Jana Sladká, zakladatelka a ředitelka Centra Anabell. </w:t>
      </w:r>
    </w:p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FBB48" wp14:editId="116092D9">
                <wp:simplePos x="0" y="0"/>
                <wp:positionH relativeFrom="column">
                  <wp:posOffset>-38735</wp:posOffset>
                </wp:positionH>
                <wp:positionV relativeFrom="paragraph">
                  <wp:posOffset>956945</wp:posOffset>
                </wp:positionV>
                <wp:extent cx="5737860" cy="1404620"/>
                <wp:effectExtent l="0" t="0" r="15240" b="1333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06" w:rsidRPr="003C0E06" w:rsidRDefault="003C0E06" w:rsidP="003C0E06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C0E0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Poruchy příjmu potravy (diagnózy </w:t>
                            </w:r>
                            <w:proofErr w:type="gramStart"/>
                            <w:r w:rsidRPr="003C0E0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F50.0–F50</w:t>
                            </w:r>
                            <w:proofErr w:type="gramEnd"/>
                            <w:r w:rsidRPr="003C0E0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.9) tvoří okruh onemocnění, kam patří mentální</w:t>
                            </w:r>
                            <w:r w:rsidRPr="003C0E0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anorexie (odmítání jídla), bulimie (záchvaty přejídání a vyvolávaného zvracení) a také přejídání spojené s jinými psychickými poruchami. Pro všechna tato onemocnění jsou typické: </w:t>
                            </w:r>
                          </w:p>
                          <w:p w:rsidR="003C0E06" w:rsidRPr="003C0E06" w:rsidRDefault="003C0E06" w:rsidP="003C0E06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C0E0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obavy z tloušťky, </w:t>
                            </w:r>
                          </w:p>
                          <w:p w:rsidR="003C0E06" w:rsidRPr="003C0E06" w:rsidRDefault="003C0E06" w:rsidP="003C0E06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C0E0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manipulace s jídlem, sloužící ke snížení hmotnosti, a </w:t>
                            </w:r>
                          </w:p>
                          <w:p w:rsidR="003C0E06" w:rsidRPr="003C0E06" w:rsidRDefault="003C0E06" w:rsidP="003C0E06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C0E0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zkreslené vnímání vlastního těla. </w:t>
                            </w:r>
                          </w:p>
                          <w:p w:rsidR="003C0E06" w:rsidRPr="003C0E06" w:rsidRDefault="003C0E06" w:rsidP="003C0E06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C0E0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Člověk ztrácí zájem o přirozené aktivity – setkávání s přáteli a vrstevníky, rodinný život, společenské aktivity a zájmy, výrazně se orientuje na výkon. Středem zájmu je jídlo a vlastní postava.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1FB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.05pt;margin-top:75.35pt;width:45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" fillcolor="#f2f2f2 [3052]">
                <v:textbox style="mso-fit-shape-to-text:t">
                  <w:txbxContent>
                    <w:p w:rsidR="003C0E06" w:rsidRPr="003C0E06" w:rsidRDefault="003C0E06" w:rsidP="003C0E06">
                      <w:pP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C0E06"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Poruchy příjmu potravy (diagnózy </w:t>
                      </w:r>
                      <w:proofErr w:type="gramStart"/>
                      <w:r w:rsidRPr="003C0E06"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  <w:t>F50.0–F50</w:t>
                      </w:r>
                      <w:proofErr w:type="gramEnd"/>
                      <w:r w:rsidRPr="003C0E06"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  <w:t>.9) tvoří okruh onemocnění, kam patří mentální</w:t>
                      </w:r>
                      <w:r w:rsidRPr="003C0E06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 anorexie (odmítání jídla), bulimie (záchvaty přejídání a vyvolávaného zvracení) a také přejídání spojené s jinými psychickými poruchami. Pro všechna tato onemocnění jsou typické: </w:t>
                      </w:r>
                    </w:p>
                    <w:p w:rsidR="003C0E06" w:rsidRPr="003C0E06" w:rsidRDefault="003C0E06" w:rsidP="003C0E06">
                      <w:pP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C0E06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obavy z tloušťky, </w:t>
                      </w:r>
                    </w:p>
                    <w:p w:rsidR="003C0E06" w:rsidRPr="003C0E06" w:rsidRDefault="003C0E06" w:rsidP="003C0E06">
                      <w:pP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C0E06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manipulace s jídlem, sloužící ke snížení hmotnosti, a </w:t>
                      </w:r>
                    </w:p>
                    <w:p w:rsidR="003C0E06" w:rsidRPr="003C0E06" w:rsidRDefault="003C0E06" w:rsidP="003C0E06">
                      <w:pP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C0E06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zkreslené vnímání vlastního těla. </w:t>
                      </w:r>
                    </w:p>
                    <w:p w:rsidR="003C0E06" w:rsidRPr="003C0E06" w:rsidRDefault="003C0E06" w:rsidP="003C0E06">
                      <w:pP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3C0E06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Člověk ztrácí zájem o přirozené aktivity – setkávání s přáteli a vrstevníky, rodinný život, společenské aktivity a zájmy, výrazně se orientuje na výkon. Středem zájmu je jídlo a vlastní postava.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 xml:space="preserve">Pacienti, kteří byli léčeni pro diagnózu porucha příjmu potravy v daném roce (2013) poprvé v životě, tvořili téměř 37 % z celkového počtu těchto pacientů. Z hlediska věkové struktury bylo více než 8 % z celkového počtu pacientů léčených pro dg. F50 ve věku 0–14 let, téměř 30 % ve věku 15–19 let a téměř 62 % starších 20 let. </w:t>
      </w:r>
    </w:p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Nejvíce těchto pacientů (přepočteno na 100 tisíc obyvatel daného kraje) bylo léčeno ve zdravotnických zařízeních na území Prahy (113,9 pacientů na 100 tisíc obyvatel kraje), a to 3,5krát více než byl celorepublikový průměr (32,9 pacientů na 100 tisíc obyvatel kraje). Průměr za ČR byl dále překročen v kraji Pardubickém (38,3 pacientů na 100 tisíc obyvatel kraje), Olomouckém (37,5 pacientů na 100 tisíc obyvatel kraje) a v Jihomoravském kraji (34,2 pacientů na 100 tisíc obyvatel kraje)</w:t>
      </w: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  <w:vertAlign w:val="superscript"/>
        </w:rPr>
        <w:footnoteReference w:id="1"/>
      </w: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.</w:t>
      </w: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lastRenderedPageBreak/>
        <w:t xml:space="preserve">Celkově bylo v roce 2013 v psychiatrických ambulancích ošetřeno 603 205 pacientů. Nejčastějšími diagnózami, pro které byli pacienti v psychiatrických ordinacích ošetřeni, byly neurotické poruchy (40 % z celkového počtu léčených pacientů, tj. 234 648 pacientů). Z uvedeného počtu tvořili pacienti s poruchou příjmu potravy necelá 2 %. Dalšími častými poruchami, které byly u pacientů diagnostikovány, byly afektivní poruchy (19 %), poruchy vyvolané návykovými látkami a schizofrenie. </w:t>
      </w:r>
    </w:p>
    <w:p w:rsidR="003C0E06" w:rsidRPr="003C0E06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</w:p>
    <w:p w:rsidR="008D4FE3" w:rsidRPr="00C7232F" w:rsidRDefault="003C0E06" w:rsidP="003C0E06">
      <w:pPr>
        <w:jc w:val="both"/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</w:pPr>
      <w:r w:rsidRPr="003C0E06">
        <w:rPr>
          <w:rFonts w:ascii="Arial" w:hAnsi="Arial"/>
          <w:color w:val="0A4076"/>
          <w:position w:val="14"/>
          <w:sz w:val="20"/>
          <w:szCs w:val="20"/>
          <w:shd w:val="clear" w:color="auto" w:fill="FFFFFF"/>
        </w:rPr>
        <w:t>U klientů s poruchou příjmu potravy bylo v členění podle zaměstnání a rodinného stavu ve sledovaných letech nejvíce hospitalizací (cca 81 %) ve skupině „nepracující, dítě, studující“ a více než 85 % bylo svobodných. U většiny hospitalizovaných byla po propuštění z psychiatrického lůžkového zařízení nutná další ambulantní péče, a to buď trvalá (téměř u 45 % hospitalizací) nebo dočasná (u 34 % hospitalizací). U 16 % hospitalizací byla nutná další ústavní léčba.</w:t>
      </w:r>
    </w:p>
    <w:sectPr w:rsidR="008D4FE3" w:rsidRPr="00C7232F" w:rsidSect="00C24F56">
      <w:headerReference w:type="default" r:id="rId9"/>
      <w:foot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AC" w:rsidRDefault="002121AC" w:rsidP="00930B69">
      <w:r>
        <w:separator/>
      </w:r>
    </w:p>
  </w:endnote>
  <w:endnote w:type="continuationSeparator" w:id="0">
    <w:p w:rsidR="002121AC" w:rsidRDefault="002121AC" w:rsidP="009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AB" w:rsidRPr="00F76DAB" w:rsidRDefault="00F76DAB">
    <w:pPr>
      <w:pStyle w:val="Zpat"/>
      <w:rPr>
        <w:rFonts w:ascii="Arial" w:hAnsi="Arial" w:cs="Arial"/>
        <w:color w:val="0070C0"/>
        <w:sz w:val="20"/>
        <w:szCs w:val="20"/>
      </w:rPr>
    </w:pPr>
    <w:r w:rsidRPr="00F76DAB">
      <w:rPr>
        <w:rFonts w:ascii="Arial" w:hAnsi="Arial" w:cs="Arial"/>
        <w:color w:val="0070C0"/>
        <w:sz w:val="20"/>
        <w:szCs w:val="20"/>
      </w:rPr>
      <w:t xml:space="preserve">Kontakt: Eva Fryšarová, </w:t>
    </w:r>
    <w:hyperlink r:id="rId1" w:history="1">
      <w:r w:rsidRPr="00F76DAB">
        <w:rPr>
          <w:rStyle w:val="Hypertextovodkaz"/>
          <w:rFonts w:ascii="Arial" w:hAnsi="Arial" w:cs="Arial"/>
          <w:color w:val="0070C0"/>
          <w:sz w:val="20"/>
          <w:szCs w:val="20"/>
        </w:rPr>
        <w:t>eva.frysarova@anabell.cz</w:t>
      </w:r>
    </w:hyperlink>
    <w:r w:rsidRPr="00F76DAB">
      <w:rPr>
        <w:rFonts w:ascii="Arial" w:hAnsi="Arial" w:cs="Arial"/>
        <w:color w:val="0070C0"/>
        <w:sz w:val="20"/>
        <w:szCs w:val="20"/>
      </w:rPr>
      <w:t xml:space="preserve">, </w:t>
    </w:r>
    <w:r w:rsidR="002E09BF">
      <w:rPr>
        <w:rFonts w:ascii="Arial" w:hAnsi="Arial" w:cs="Arial"/>
        <w:color w:val="0070C0"/>
        <w:sz w:val="20"/>
        <w:szCs w:val="20"/>
      </w:rPr>
      <w:t xml:space="preserve">mobil: </w:t>
    </w:r>
    <w:r w:rsidRPr="00F76DAB">
      <w:rPr>
        <w:rFonts w:ascii="Arial" w:hAnsi="Arial" w:cs="Arial"/>
        <w:color w:val="0070C0"/>
        <w:sz w:val="20"/>
        <w:szCs w:val="20"/>
      </w:rPr>
      <w:t>723 783 759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AC" w:rsidRDefault="002121AC" w:rsidP="00930B69">
      <w:r>
        <w:separator/>
      </w:r>
    </w:p>
  </w:footnote>
  <w:footnote w:type="continuationSeparator" w:id="0">
    <w:p w:rsidR="002121AC" w:rsidRDefault="002121AC" w:rsidP="00930B69">
      <w:r>
        <w:continuationSeparator/>
      </w:r>
    </w:p>
  </w:footnote>
  <w:footnote w:id="1">
    <w:p w:rsidR="003C0E06" w:rsidRDefault="003C0E06" w:rsidP="003C0E06">
      <w:pPr>
        <w:pStyle w:val="Textpoznpodarou"/>
      </w:pPr>
      <w:r>
        <w:rPr>
          <w:rStyle w:val="Znakapoznpodarou"/>
        </w:rPr>
        <w:footnoteRef/>
      </w:r>
      <w:r>
        <w:t xml:space="preserve"> Pacienti </w:t>
      </w:r>
      <w:r w:rsidRPr="00020C13">
        <w:t>jsou sledováni podle sídla zdravotnického zařízení, nikoli podle jejich trvalého bydliště.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69" w:rsidRPr="00930B69" w:rsidRDefault="00C24F56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</w:rPr>
    </w:pPr>
    <w:r w:rsidRPr="00930B69">
      <w:rPr>
        <w:rFonts w:ascii="Arial" w:hAnsi="Arial" w:cs="Arial"/>
        <w:b/>
        <w:noProof/>
        <w:color w:val="045D9A"/>
        <w:sz w:val="36"/>
        <w:szCs w:val="36"/>
        <w:lang w:eastAsia="cs-CZ"/>
      </w:rPr>
      <w:drawing>
        <wp:anchor distT="0" distB="0" distL="114300" distR="114300" simplePos="0" relativeHeight="251658752" behindDoc="0" locked="0" layoutInCell="1" allowOverlap="1" wp14:anchorId="78E53E35" wp14:editId="0D907450">
          <wp:simplePos x="0" y="0"/>
          <wp:positionH relativeFrom="margin">
            <wp:posOffset>4060190</wp:posOffset>
          </wp:positionH>
          <wp:positionV relativeFrom="margin">
            <wp:posOffset>-1040765</wp:posOffset>
          </wp:positionV>
          <wp:extent cx="1809750" cy="405130"/>
          <wp:effectExtent l="0" t="0" r="0" b="0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abell-5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0B69" w:rsidRPr="00930B69" w:rsidRDefault="00930B69" w:rsidP="00930B69">
    <w:pPr>
      <w:pStyle w:val="Zhlav"/>
      <w:tabs>
        <w:tab w:val="clear" w:pos="4536"/>
        <w:tab w:val="clear" w:pos="9072"/>
        <w:tab w:val="left" w:pos="3494"/>
      </w:tabs>
      <w:rPr>
        <w:rFonts w:ascii="Arial" w:hAnsi="Arial" w:cs="Arial"/>
        <w:b/>
        <w:color w:val="045D9A"/>
        <w:sz w:val="36"/>
        <w:szCs w:val="36"/>
      </w:rPr>
    </w:pPr>
    <w:r w:rsidRPr="00930B69">
      <w:rPr>
        <w:rFonts w:ascii="Arial" w:hAnsi="Arial" w:cs="Arial"/>
        <w:b/>
        <w:color w:val="045D9A"/>
        <w:sz w:val="36"/>
        <w:szCs w:val="36"/>
      </w:rPr>
      <w:t>TISKOVÁ ZPRÁVA</w:t>
    </w:r>
    <w:r w:rsidRPr="00930B69">
      <w:rPr>
        <w:rFonts w:ascii="Arial" w:hAnsi="Arial" w:cs="Arial"/>
        <w:b/>
        <w:color w:val="045D9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BC2"/>
    <w:multiLevelType w:val="hybridMultilevel"/>
    <w:tmpl w:val="241E1148"/>
    <w:lvl w:ilvl="0" w:tplc="60480AF0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3EDB"/>
    <w:multiLevelType w:val="hybridMultilevel"/>
    <w:tmpl w:val="1B54A86C"/>
    <w:lvl w:ilvl="0" w:tplc="154E8E9E">
      <w:start w:val="1"/>
      <w:numFmt w:val="bullet"/>
      <w:lvlText w:val="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49B"/>
    <w:multiLevelType w:val="hybridMultilevel"/>
    <w:tmpl w:val="6F22FB06"/>
    <w:lvl w:ilvl="0" w:tplc="078623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50C6"/>
    <w:multiLevelType w:val="hybridMultilevel"/>
    <w:tmpl w:val="23EA33F8"/>
    <w:lvl w:ilvl="0" w:tplc="154E8E9E">
      <w:start w:val="1"/>
      <w:numFmt w:val="bullet"/>
      <w:lvlText w:val="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31"/>
    <w:rsid w:val="00072934"/>
    <w:rsid w:val="000F00A9"/>
    <w:rsid w:val="001A4CBF"/>
    <w:rsid w:val="002121AC"/>
    <w:rsid w:val="00223E32"/>
    <w:rsid w:val="00231685"/>
    <w:rsid w:val="00243D52"/>
    <w:rsid w:val="00264CC9"/>
    <w:rsid w:val="002E09BF"/>
    <w:rsid w:val="00334C82"/>
    <w:rsid w:val="0036267E"/>
    <w:rsid w:val="00380721"/>
    <w:rsid w:val="003814F1"/>
    <w:rsid w:val="003B195D"/>
    <w:rsid w:val="003C0E06"/>
    <w:rsid w:val="003D14A2"/>
    <w:rsid w:val="00401557"/>
    <w:rsid w:val="00411424"/>
    <w:rsid w:val="00463B99"/>
    <w:rsid w:val="00476778"/>
    <w:rsid w:val="00484C97"/>
    <w:rsid w:val="004A5A95"/>
    <w:rsid w:val="004B0D1C"/>
    <w:rsid w:val="004E05CA"/>
    <w:rsid w:val="004E135F"/>
    <w:rsid w:val="004E1D09"/>
    <w:rsid w:val="004E2A4E"/>
    <w:rsid w:val="0050604B"/>
    <w:rsid w:val="005268CE"/>
    <w:rsid w:val="005A2C5E"/>
    <w:rsid w:val="005B571A"/>
    <w:rsid w:val="006106CC"/>
    <w:rsid w:val="00612A85"/>
    <w:rsid w:val="00643FCA"/>
    <w:rsid w:val="0065525D"/>
    <w:rsid w:val="0067123E"/>
    <w:rsid w:val="00693E6E"/>
    <w:rsid w:val="00705CA4"/>
    <w:rsid w:val="00720958"/>
    <w:rsid w:val="007533FE"/>
    <w:rsid w:val="007836A0"/>
    <w:rsid w:val="007C12FB"/>
    <w:rsid w:val="007C6092"/>
    <w:rsid w:val="007F0312"/>
    <w:rsid w:val="007F088D"/>
    <w:rsid w:val="00815E76"/>
    <w:rsid w:val="00842F02"/>
    <w:rsid w:val="00850D35"/>
    <w:rsid w:val="00870824"/>
    <w:rsid w:val="00874E84"/>
    <w:rsid w:val="008D4FE3"/>
    <w:rsid w:val="008D7273"/>
    <w:rsid w:val="008E6246"/>
    <w:rsid w:val="008E7B50"/>
    <w:rsid w:val="00914E31"/>
    <w:rsid w:val="009207F9"/>
    <w:rsid w:val="00930B69"/>
    <w:rsid w:val="00951BBB"/>
    <w:rsid w:val="00970C98"/>
    <w:rsid w:val="00972E09"/>
    <w:rsid w:val="009A4B06"/>
    <w:rsid w:val="009B176A"/>
    <w:rsid w:val="009C7D6C"/>
    <w:rsid w:val="00A4133D"/>
    <w:rsid w:val="00A87B9B"/>
    <w:rsid w:val="00AA4DF1"/>
    <w:rsid w:val="00AB1B1F"/>
    <w:rsid w:val="00AC5244"/>
    <w:rsid w:val="00AE73E4"/>
    <w:rsid w:val="00AF6FED"/>
    <w:rsid w:val="00B2279C"/>
    <w:rsid w:val="00B2326F"/>
    <w:rsid w:val="00B3685B"/>
    <w:rsid w:val="00B41180"/>
    <w:rsid w:val="00B44C75"/>
    <w:rsid w:val="00B60098"/>
    <w:rsid w:val="00B64F50"/>
    <w:rsid w:val="00B91972"/>
    <w:rsid w:val="00BB3EEB"/>
    <w:rsid w:val="00BC4C7D"/>
    <w:rsid w:val="00BC6EAE"/>
    <w:rsid w:val="00C24F56"/>
    <w:rsid w:val="00C7232F"/>
    <w:rsid w:val="00C8552C"/>
    <w:rsid w:val="00C904C8"/>
    <w:rsid w:val="00C90A74"/>
    <w:rsid w:val="00CA1C26"/>
    <w:rsid w:val="00D05C92"/>
    <w:rsid w:val="00D24B6A"/>
    <w:rsid w:val="00D41FC8"/>
    <w:rsid w:val="00D84882"/>
    <w:rsid w:val="00DB0B6D"/>
    <w:rsid w:val="00DD3031"/>
    <w:rsid w:val="00DD7300"/>
    <w:rsid w:val="00E15C5D"/>
    <w:rsid w:val="00E3430A"/>
    <w:rsid w:val="00E617D7"/>
    <w:rsid w:val="00EA0C3E"/>
    <w:rsid w:val="00ED2EF9"/>
    <w:rsid w:val="00F13F5C"/>
    <w:rsid w:val="00F76DAB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AE218-F05D-487C-9822-F680B7B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031"/>
    <w:rPr>
      <w:rFonts w:ascii="Tahoma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DD303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DD3031"/>
    <w:rPr>
      <w:b/>
      <w:bCs/>
    </w:rPr>
  </w:style>
  <w:style w:type="character" w:customStyle="1" w:styleId="apple-converted-space">
    <w:name w:val="apple-converted-space"/>
    <w:basedOn w:val="Standardnpsmoodstavce"/>
    <w:rsid w:val="00DD3031"/>
  </w:style>
  <w:style w:type="character" w:styleId="Hypertextovodkaz">
    <w:name w:val="Hyperlink"/>
    <w:basedOn w:val="Standardnpsmoodstavce"/>
    <w:uiPriority w:val="99"/>
    <w:unhideWhenUsed/>
    <w:rsid w:val="00DD30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1C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0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0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0A9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0A9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B6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30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B69"/>
    <w:rPr>
      <w:sz w:val="24"/>
      <w:szCs w:val="24"/>
      <w:lang w:eastAsia="zh-CN"/>
    </w:rPr>
  </w:style>
  <w:style w:type="paragraph" w:customStyle="1" w:styleId="justifyfull">
    <w:name w:val="justifyfull"/>
    <w:basedOn w:val="Normln"/>
    <w:rsid w:val="00B9197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693E6E"/>
    <w:rPr>
      <w:i/>
      <w:iCs/>
    </w:rPr>
  </w:style>
  <w:style w:type="paragraph" w:styleId="Bezmezer">
    <w:name w:val="No Spacing"/>
    <w:uiPriority w:val="1"/>
    <w:qFormat/>
    <w:rsid w:val="00815E76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0E06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0E06"/>
    <w:rPr>
      <w:rFonts w:ascii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3C0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.frysarova@anabel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6436-FE22-4949-9115-3B75B3B6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972</Words>
  <Characters>4608</Characters>
  <Application>Microsoft Office Word</Application>
  <DocSecurity>0</DocSecurity>
  <Lines>85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Evík</dc:creator>
  <cp:lastModifiedBy>Eva Fryšarová</cp:lastModifiedBy>
  <cp:revision>5</cp:revision>
  <dcterms:created xsi:type="dcterms:W3CDTF">2015-06-24T21:38:00Z</dcterms:created>
  <dcterms:modified xsi:type="dcterms:W3CDTF">2015-06-25T04:23:00Z</dcterms:modified>
</cp:coreProperties>
</file>